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微软雅黑" w:hAnsi="微软雅黑" w:eastAsia="微软雅黑" w:cs="微软雅黑"/>
          <w:color w:val="141414"/>
          <w:kern w:val="0"/>
          <w:sz w:val="20"/>
          <w:szCs w:val="20"/>
          <w:lang w:val="en-US" w:eastAsia="zh-CN" w:bidi="ar"/>
        </w:rPr>
      </w:pPr>
      <w:r>
        <w:rPr>
          <w:rFonts w:ascii="微软雅黑" w:hAnsi="微软雅黑" w:eastAsia="微软雅黑" w:cs="微软雅黑"/>
          <w:color w:val="141414"/>
          <w:kern w:val="0"/>
          <w:sz w:val="20"/>
          <w:szCs w:val="20"/>
          <w:lang w:val="en-US" w:eastAsia="zh-CN" w:bidi="ar"/>
        </w:rPr>
        <w:t xml:space="preserve">功能描述 </w:t>
      </w:r>
    </w:p>
    <w:p>
      <w:pPr>
        <w:keepNext w:val="0"/>
        <w:keepLines w:val="0"/>
        <w:pageBreakBefore w:val="0"/>
        <w:widowControl/>
        <w:suppressLineNumbers w:val="0"/>
        <w:kinsoku/>
        <w:wordWrap/>
        <w:overflowPunct/>
        <w:topLinePunct w:val="0"/>
        <w:autoSpaceDE/>
        <w:autoSpaceDN/>
        <w:bidi w:val="0"/>
        <w:adjustRightInd/>
        <w:snapToGrid/>
        <w:ind w:firstLine="404" w:firstLineChars="200"/>
        <w:jc w:val="left"/>
        <w:textAlignment w:val="auto"/>
        <w:rPr>
          <w:rFonts w:hint="eastAsia"/>
          <w:spacing w:val="-2"/>
          <w:lang w:eastAsia="zh-CN"/>
        </w:rPr>
      </w:pPr>
      <w:r>
        <w:rPr>
          <w:spacing w:val="-4"/>
          <w:lang w:eastAsia="zh-CN"/>
        </w:rPr>
        <w:t>神州云科</w:t>
      </w:r>
      <w:r>
        <w:rPr>
          <w:rFonts w:hint="eastAsia"/>
          <w:spacing w:val="-4"/>
          <w:lang w:val="en-US" w:eastAsia="zh-CN"/>
        </w:rPr>
        <w:t>虚拟化软件主要应用于各类云服务平台或虚拟环境下，通过云服务厂商或自有硬件设备，配合云科虚拟化软件，</w:t>
      </w:r>
      <w:r>
        <w:rPr>
          <w:spacing w:val="-4"/>
          <w:lang w:eastAsia="zh-CN"/>
        </w:rPr>
        <w:t>帮助客户在云环境下快速部署业务，</w:t>
      </w:r>
      <w:r>
        <w:rPr>
          <w:rFonts w:hint="eastAsia"/>
          <w:spacing w:val="-4"/>
          <w:lang w:val="en-US" w:eastAsia="zh-CN"/>
        </w:rPr>
        <w:t>以尽可能小的管理成本，在不破坏现有网络架构的基础上</w:t>
      </w:r>
      <w:r>
        <w:rPr>
          <w:spacing w:val="-4"/>
          <w:lang w:eastAsia="zh-CN"/>
        </w:rPr>
        <w:t>保护客户数据的</w:t>
      </w:r>
      <w:r>
        <w:rPr>
          <w:spacing w:val="-2"/>
          <w:lang w:eastAsia="zh-CN"/>
        </w:rPr>
        <w:t>安全，同时有效降低</w:t>
      </w:r>
      <w:r>
        <w:rPr>
          <w:rFonts w:cs="微软雅黑"/>
          <w:spacing w:val="-3"/>
          <w:lang w:eastAsia="zh-CN"/>
        </w:rPr>
        <w:t>TCO</w:t>
      </w:r>
      <w:r>
        <w:rPr>
          <w:spacing w:val="-2"/>
          <w:lang w:eastAsia="zh-CN"/>
        </w:rPr>
        <w:t>和基础设施的空间占用，为客户提供工作效率，降低成本，并在未来为其业务应用的基础设施提供强有力的保障</w:t>
      </w:r>
      <w:r>
        <w:rPr>
          <w:rFonts w:hint="eastAsia"/>
          <w:spacing w:val="-2"/>
          <w:lang w:eastAsia="zh-CN"/>
        </w:rPr>
        <w:t>。</w:t>
      </w:r>
    </w:p>
    <w:p>
      <w:pPr>
        <w:keepNext w:val="0"/>
        <w:keepLines w:val="0"/>
        <w:widowControl/>
        <w:suppressLineNumbers w:val="0"/>
        <w:jc w:val="left"/>
        <w:rPr>
          <w:rFonts w:hint="eastAsia" w:ascii="微软雅黑" w:hAnsi="微软雅黑" w:eastAsia="微软雅黑" w:cs="微软雅黑"/>
          <w:color w:val="141414"/>
          <w:kern w:val="0"/>
          <w:sz w:val="20"/>
          <w:szCs w:val="20"/>
          <w:lang w:val="en-US" w:eastAsia="zh-CN" w:bidi="ar"/>
        </w:rPr>
      </w:pPr>
      <w:r>
        <w:rPr>
          <w:rFonts w:hint="eastAsia" w:ascii="微软雅黑" w:hAnsi="微软雅黑" w:eastAsia="微软雅黑" w:cs="微软雅黑"/>
          <w:color w:val="141414"/>
          <w:kern w:val="0"/>
          <w:sz w:val="20"/>
          <w:szCs w:val="20"/>
          <w:lang w:val="en-US" w:eastAsia="zh-CN" w:bidi="ar"/>
        </w:rPr>
        <w:t xml:space="preserve">主要优势 </w:t>
      </w:r>
    </w:p>
    <w:p>
      <w:pPr>
        <w:keepNext w:val="0"/>
        <w:keepLines w:val="0"/>
        <w:pageBreakBefore w:val="0"/>
        <w:widowControl/>
        <w:suppressLineNumbers w:val="0"/>
        <w:kinsoku/>
        <w:wordWrap/>
        <w:overflowPunct/>
        <w:topLinePunct w:val="0"/>
        <w:autoSpaceDE/>
        <w:autoSpaceDN/>
        <w:bidi w:val="0"/>
        <w:adjustRightInd/>
        <w:snapToGrid/>
        <w:jc w:val="left"/>
        <w:textAlignment w:val="auto"/>
        <w:rPr>
          <w:spacing w:val="-2"/>
          <w:lang w:eastAsia="zh-CN"/>
        </w:rPr>
      </w:pPr>
      <w:r>
        <w:rPr>
          <w:rFonts w:hint="eastAsia"/>
          <w:spacing w:val="-2"/>
          <w:lang w:val="en-US" w:eastAsia="zh-CN"/>
        </w:rPr>
        <w:t>·</w:t>
      </w:r>
      <w:r>
        <w:rPr>
          <w:spacing w:val="-2"/>
          <w:lang w:eastAsia="zh-CN"/>
        </w:rPr>
        <w:t>快速部署应用并确保可用性</w:t>
      </w:r>
    </w:p>
    <w:p>
      <w:pPr>
        <w:keepNext w:val="0"/>
        <w:keepLines w:val="0"/>
        <w:pageBreakBefore w:val="0"/>
        <w:widowControl/>
        <w:suppressLineNumbers w:val="0"/>
        <w:kinsoku/>
        <w:wordWrap/>
        <w:overflowPunct/>
        <w:topLinePunct w:val="0"/>
        <w:autoSpaceDE/>
        <w:autoSpaceDN/>
        <w:bidi w:val="0"/>
        <w:adjustRightInd/>
        <w:snapToGrid/>
        <w:ind w:firstLine="412" w:firstLineChars="200"/>
        <w:jc w:val="left"/>
        <w:textAlignment w:val="auto"/>
        <w:rPr>
          <w:spacing w:val="-2"/>
          <w:lang w:eastAsia="zh-CN"/>
        </w:rPr>
      </w:pPr>
      <w:r>
        <w:rPr>
          <w:spacing w:val="-2"/>
          <w:lang w:eastAsia="zh-CN"/>
        </w:rPr>
        <w:t>快速部署和管理应用，实现相关统计数据的全面可视性。</w:t>
      </w:r>
      <w:r>
        <w:rPr>
          <w:rFonts w:hint="eastAsia"/>
          <w:spacing w:val="-2"/>
          <w:lang w:val="en-US" w:eastAsia="zh-CN"/>
        </w:rPr>
        <w:t>对于所需的</w:t>
      </w:r>
      <w:r>
        <w:rPr>
          <w:spacing w:val="-2"/>
          <w:lang w:eastAsia="zh-CN"/>
        </w:rPr>
        <w:t>即时部署选项</w:t>
      </w:r>
      <w:r>
        <w:rPr>
          <w:rFonts w:hint="eastAsia"/>
          <w:spacing w:val="-2"/>
          <w:lang w:eastAsia="zh-CN"/>
        </w:rPr>
        <w:t>，</w:t>
      </w:r>
      <w:r>
        <w:rPr>
          <w:rFonts w:hint="eastAsia"/>
          <w:spacing w:val="-2"/>
          <w:lang w:val="en-US" w:eastAsia="zh-CN"/>
        </w:rPr>
        <w:t>以更灵活的方式</w:t>
      </w:r>
      <w:r>
        <w:rPr>
          <w:spacing w:val="-2"/>
          <w:lang w:eastAsia="zh-CN"/>
        </w:rPr>
        <w:t>，在数据中心或云环境中便捷地调整应用交付服务。提供终极的灵活性获得行业最灵活的部署选项，以及面向私有云和公有云环境中所有主要虚拟化平台的支持。</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spacing w:val="-2"/>
          <w:lang w:val="en-US" w:eastAsia="zh-CN"/>
        </w:rPr>
      </w:pPr>
      <w:r>
        <w:rPr>
          <w:rFonts w:hint="eastAsia"/>
          <w:spacing w:val="-2"/>
          <w:lang w:val="en-US" w:eastAsia="zh-CN"/>
        </w:rPr>
        <w:t>·实现极致灵活性</w:t>
      </w:r>
    </w:p>
    <w:p>
      <w:pPr>
        <w:keepNext w:val="0"/>
        <w:keepLines w:val="0"/>
        <w:pageBreakBefore w:val="0"/>
        <w:widowControl/>
        <w:suppressLineNumbers w:val="0"/>
        <w:kinsoku/>
        <w:wordWrap/>
        <w:overflowPunct/>
        <w:topLinePunct w:val="0"/>
        <w:autoSpaceDE/>
        <w:autoSpaceDN/>
        <w:bidi w:val="0"/>
        <w:adjustRightInd/>
        <w:snapToGrid/>
        <w:ind w:firstLine="412" w:firstLineChars="200"/>
        <w:jc w:val="left"/>
        <w:textAlignment w:val="auto"/>
        <w:rPr>
          <w:spacing w:val="-2"/>
          <w:lang w:eastAsia="zh-CN"/>
        </w:rPr>
      </w:pPr>
      <w:r>
        <w:rPr>
          <w:rFonts w:hint="eastAsia"/>
          <w:spacing w:val="-2"/>
          <w:lang w:val="en-US" w:eastAsia="zh-CN"/>
        </w:rPr>
        <w:t>为客户数据中心提供更多样的交付方式，根据需求</w:t>
      </w:r>
      <w:r>
        <w:rPr>
          <w:spacing w:val="-2"/>
          <w:lang w:eastAsia="zh-CN"/>
        </w:rPr>
        <w:t>可以同时部署虚拟和物理YK-ADC组件</w:t>
      </w:r>
      <w:bookmarkStart w:id="0" w:name="_GoBack"/>
      <w:bookmarkEnd w:id="0"/>
      <w:r>
        <w:rPr>
          <w:spacing w:val="-2"/>
          <w:lang w:eastAsia="zh-CN"/>
        </w:rPr>
        <w:t>，创建灵活、可调整的应用交付网络（ADN）。更高效优化应用服务，在现有的服务器上快速部署并整合应用服务，借助虚拟化释放最广泛的应用交付特性。</w:t>
      </w:r>
    </w:p>
    <w:p>
      <w:pPr>
        <w:keepNext w:val="0"/>
        <w:keepLines w:val="0"/>
        <w:pageBreakBefore w:val="0"/>
        <w:widowControl/>
        <w:suppressLineNumbers w:val="0"/>
        <w:kinsoku/>
        <w:wordWrap/>
        <w:overflowPunct/>
        <w:topLinePunct w:val="0"/>
        <w:autoSpaceDE/>
        <w:autoSpaceDN/>
        <w:bidi w:val="0"/>
        <w:adjustRightInd/>
        <w:snapToGrid/>
        <w:ind w:firstLine="412" w:firstLineChars="200"/>
        <w:jc w:val="left"/>
        <w:textAlignment w:val="auto"/>
        <w:rPr>
          <w:spacing w:val="-2"/>
          <w:lang w:eastAsia="zh-CN"/>
        </w:rPr>
      </w:pPr>
      <w:r>
        <w:rPr>
          <w:rFonts w:hint="eastAsia"/>
          <w:spacing w:val="-2"/>
          <w:lang w:val="en-US" w:eastAsia="zh-CN"/>
        </w:rPr>
        <w:t>云科VADC借助弹性、应用移动性和面向虚拟环境和云环境的灵活部署选项，迁移至软件定义数据中（SDDC）。SDAS架构可部署在虚拟ADC上，为私有和公有云架构提供动态、可扩展及灵活的SDDC。SDDC有助于加快应用部署速度，动态改变数据中心，并增强应用安全。</w:t>
      </w:r>
      <w:r>
        <w:rPr>
          <w:spacing w:val="-2"/>
          <w:lang w:eastAsia="zh-CN"/>
        </w:rPr>
        <w:t>对于企业SDDC，云科VE可为每个应用动态部署，提供真正的弹性、应用移动性及资源和故障隔离功能—能够随网络需求的增长而扩展。</w:t>
      </w:r>
    </w:p>
    <w:p>
      <w:pPr>
        <w:keepNext w:val="0"/>
        <w:keepLines w:val="0"/>
        <w:pageBreakBefore w:val="0"/>
        <w:widowControl/>
        <w:suppressLineNumbers w:val="0"/>
        <w:kinsoku/>
        <w:wordWrap/>
        <w:overflowPunct/>
        <w:topLinePunct w:val="0"/>
        <w:autoSpaceDE/>
        <w:autoSpaceDN/>
        <w:bidi w:val="0"/>
        <w:adjustRightInd/>
        <w:snapToGrid/>
        <w:jc w:val="left"/>
        <w:textAlignment w:val="auto"/>
        <w:rPr>
          <w:spacing w:val="-2"/>
          <w:lang w:eastAsia="zh-CN"/>
        </w:rPr>
      </w:pPr>
      <w:r>
        <w:rPr>
          <w:rFonts w:hint="eastAsia"/>
          <w:spacing w:val="-2"/>
          <w:lang w:val="en-US" w:eastAsia="zh-CN"/>
        </w:rPr>
        <w:t>·</w:t>
      </w:r>
      <w:r>
        <w:rPr>
          <w:spacing w:val="-2"/>
          <w:lang w:eastAsia="zh-CN"/>
        </w:rPr>
        <w:t>控制应用交付</w:t>
      </w:r>
    </w:p>
    <w:p>
      <w:pPr>
        <w:keepNext w:val="0"/>
        <w:keepLines w:val="0"/>
        <w:pageBreakBefore w:val="0"/>
        <w:widowControl/>
        <w:suppressLineNumbers w:val="0"/>
        <w:kinsoku/>
        <w:wordWrap/>
        <w:overflowPunct/>
        <w:topLinePunct w:val="0"/>
        <w:autoSpaceDE/>
        <w:autoSpaceDN/>
        <w:bidi w:val="0"/>
        <w:adjustRightInd/>
        <w:snapToGrid/>
        <w:ind w:firstLine="412" w:firstLineChars="200"/>
        <w:jc w:val="left"/>
        <w:textAlignment w:val="auto"/>
        <w:rPr>
          <w:spacing w:val="-2"/>
          <w:lang w:eastAsia="zh-CN"/>
        </w:rPr>
      </w:pPr>
      <w:r>
        <w:rPr>
          <w:spacing w:val="-2"/>
          <w:lang w:eastAsia="zh-CN"/>
        </w:rPr>
        <w:t>通过云科独一无二的操作系统，控制您的应用连接、流量、配置和管理，其操作系统包括开放式API、以事件为导向的脚本语言及设备组可扩展性等。</w:t>
      </w:r>
    </w:p>
    <w:p>
      <w:pPr>
        <w:keepNext w:val="0"/>
        <w:keepLines w:val="0"/>
        <w:pageBreakBefore w:val="0"/>
        <w:widowControl/>
        <w:suppressLineNumbers w:val="0"/>
        <w:kinsoku/>
        <w:wordWrap/>
        <w:overflowPunct/>
        <w:topLinePunct w:val="0"/>
        <w:autoSpaceDE/>
        <w:autoSpaceDN/>
        <w:bidi w:val="0"/>
        <w:adjustRightInd/>
        <w:snapToGrid/>
        <w:jc w:val="left"/>
        <w:textAlignment w:val="auto"/>
        <w:rPr>
          <w:spacing w:val="-2"/>
          <w:lang w:eastAsia="zh-CN"/>
        </w:rPr>
      </w:pPr>
      <w:r>
        <w:rPr>
          <w:rFonts w:hint="eastAsia"/>
          <w:spacing w:val="-2"/>
          <w:lang w:val="en-US" w:eastAsia="zh-CN"/>
        </w:rPr>
        <w:t>·</w:t>
      </w:r>
      <w:r>
        <w:rPr>
          <w:spacing w:val="-2"/>
          <w:lang w:eastAsia="zh-CN"/>
        </w:rPr>
        <w:t>降低服务器、带宽和管理成本</w:t>
      </w:r>
    </w:p>
    <w:p>
      <w:pPr>
        <w:keepNext w:val="0"/>
        <w:keepLines w:val="0"/>
        <w:pageBreakBefore w:val="0"/>
        <w:widowControl/>
        <w:suppressLineNumbers w:val="0"/>
        <w:kinsoku/>
        <w:wordWrap/>
        <w:overflowPunct/>
        <w:topLinePunct w:val="0"/>
        <w:autoSpaceDE/>
        <w:autoSpaceDN/>
        <w:bidi w:val="0"/>
        <w:adjustRightInd/>
        <w:snapToGrid/>
        <w:ind w:firstLine="412" w:firstLineChars="200"/>
        <w:jc w:val="left"/>
        <w:textAlignment w:val="auto"/>
        <w:rPr>
          <w:spacing w:val="-2"/>
          <w:lang w:eastAsia="zh-CN"/>
        </w:rPr>
      </w:pPr>
      <w:r>
        <w:rPr>
          <w:spacing w:val="-2"/>
          <w:lang w:eastAsia="zh-CN"/>
        </w:rPr>
        <w:t>优化您的现有基础架构，在一体化、易管理的平台上整合应用交付。实现工作负载和故障隔离适当调整每个应用工作负载的虚拟应用服务，在不影响其他应用或服务性能的情况下隔离工作负载。</w:t>
      </w:r>
    </w:p>
    <w:p>
      <w:pPr>
        <w:keepNext w:val="0"/>
        <w:keepLines w:val="0"/>
        <w:pageBreakBefore w:val="0"/>
        <w:widowControl/>
        <w:suppressLineNumbers w:val="0"/>
        <w:kinsoku/>
        <w:wordWrap/>
        <w:overflowPunct/>
        <w:topLinePunct w:val="0"/>
        <w:autoSpaceDE/>
        <w:autoSpaceDN/>
        <w:bidi w:val="0"/>
        <w:adjustRightInd/>
        <w:snapToGrid/>
        <w:jc w:val="left"/>
        <w:textAlignment w:val="auto"/>
        <w:rPr>
          <w:spacing w:val="-2"/>
          <w:lang w:eastAsia="zh-CN"/>
        </w:rPr>
      </w:pPr>
      <w:r>
        <w:rPr>
          <w:rFonts w:hint="eastAsia"/>
          <w:spacing w:val="-2"/>
          <w:lang w:val="en-US" w:eastAsia="zh-CN"/>
        </w:rPr>
        <w:t>·</w:t>
      </w:r>
      <w:r>
        <w:rPr>
          <w:spacing w:val="-2"/>
          <w:lang w:eastAsia="zh-CN"/>
        </w:rPr>
        <w:t>保护应用、网络和数据</w:t>
      </w:r>
    </w:p>
    <w:p>
      <w:pPr>
        <w:keepNext w:val="0"/>
        <w:keepLines w:val="0"/>
        <w:pageBreakBefore w:val="0"/>
        <w:widowControl/>
        <w:suppressLineNumbers w:val="0"/>
        <w:kinsoku/>
        <w:wordWrap/>
        <w:overflowPunct/>
        <w:topLinePunct w:val="0"/>
        <w:autoSpaceDE/>
        <w:autoSpaceDN/>
        <w:bidi w:val="0"/>
        <w:adjustRightInd/>
        <w:snapToGrid/>
        <w:ind w:firstLine="412" w:firstLineChars="200"/>
        <w:jc w:val="left"/>
        <w:textAlignment w:val="auto"/>
        <w:rPr>
          <w:spacing w:val="-2"/>
          <w:lang w:eastAsia="zh-CN"/>
        </w:rPr>
      </w:pPr>
      <w:r>
        <w:rPr>
          <w:spacing w:val="-2"/>
          <w:lang w:eastAsia="zh-CN"/>
        </w:rPr>
        <w:t>通过功能强大的网络级和协议级安全性及攻击过滤，保护运行业务的应用。</w:t>
      </w:r>
    </w:p>
    <w:p>
      <w:pPr>
        <w:keepNext w:val="0"/>
        <w:keepLines w:val="0"/>
        <w:widowControl/>
        <w:suppressLineNumbers w:val="0"/>
        <w:jc w:val="left"/>
        <w:rPr>
          <w:rFonts w:hint="eastAsia" w:ascii="微软雅黑" w:hAnsi="微软雅黑" w:eastAsia="微软雅黑" w:cs="微软雅黑"/>
          <w:color w:val="141414"/>
          <w:kern w:val="0"/>
          <w:sz w:val="20"/>
          <w:szCs w:val="20"/>
          <w:lang w:val="en-US" w:eastAsia="zh-CN" w:bidi="ar"/>
        </w:rPr>
      </w:pPr>
      <w:r>
        <w:rPr>
          <w:rFonts w:hint="eastAsia" w:ascii="微软雅黑" w:hAnsi="微软雅黑" w:eastAsia="微软雅黑" w:cs="微软雅黑"/>
          <w:color w:val="141414"/>
          <w:kern w:val="0"/>
          <w:sz w:val="20"/>
          <w:szCs w:val="20"/>
          <w:lang w:val="en-US" w:eastAsia="zh-CN" w:bidi="ar"/>
        </w:rPr>
        <w:t xml:space="preserve">与各云的方案结合 </w:t>
      </w:r>
    </w:p>
    <w:p>
      <w:pPr>
        <w:keepNext w:val="0"/>
        <w:keepLines w:val="0"/>
        <w:pageBreakBefore w:val="0"/>
        <w:widowControl/>
        <w:suppressLineNumbers w:val="0"/>
        <w:kinsoku/>
        <w:wordWrap/>
        <w:overflowPunct/>
        <w:topLinePunct w:val="0"/>
        <w:autoSpaceDE/>
        <w:autoSpaceDN/>
        <w:bidi w:val="0"/>
        <w:adjustRightInd/>
        <w:snapToGrid/>
        <w:ind w:firstLine="412" w:firstLineChars="200"/>
        <w:jc w:val="left"/>
        <w:textAlignment w:val="auto"/>
        <w:rPr>
          <w:rFonts w:hint="default"/>
          <w:spacing w:val="-2"/>
          <w:lang w:val="en-US" w:eastAsia="zh-CN"/>
        </w:rPr>
      </w:pPr>
      <w:r>
        <w:rPr>
          <w:spacing w:val="-2"/>
          <w:lang w:eastAsia="zh-CN"/>
        </w:rPr>
        <w:t>神州云科</w:t>
      </w:r>
      <w:r>
        <w:rPr>
          <w:rFonts w:hint="eastAsia"/>
          <w:spacing w:val="-2"/>
          <w:lang w:val="en-US" w:eastAsia="zh-CN"/>
        </w:rPr>
        <w:t>虚拟化软件目前已取得腾讯云（TDSQL、HTAP）、灵雀云兼容认证。</w:t>
      </w:r>
    </w:p>
    <w:p>
      <w:pPr>
        <w:keepNext w:val="0"/>
        <w:keepLines w:val="0"/>
        <w:widowControl/>
        <w:suppressLineNumbers w:val="0"/>
        <w:jc w:val="left"/>
        <w:rPr>
          <w:rFonts w:hint="eastAsia" w:ascii="微软雅黑" w:hAnsi="微软雅黑" w:eastAsia="微软雅黑" w:cs="微软雅黑"/>
          <w:color w:val="141414"/>
          <w:kern w:val="0"/>
          <w:sz w:val="20"/>
          <w:szCs w:val="20"/>
          <w:highlight w:val="none"/>
          <w:lang w:val="en-US" w:eastAsia="zh-CN" w:bidi="ar"/>
        </w:rPr>
      </w:pPr>
      <w:r>
        <w:rPr>
          <w:rFonts w:hint="eastAsia" w:ascii="微软雅黑" w:hAnsi="微软雅黑" w:eastAsia="微软雅黑" w:cs="微软雅黑"/>
          <w:color w:val="141414"/>
          <w:kern w:val="0"/>
          <w:sz w:val="20"/>
          <w:szCs w:val="20"/>
          <w:highlight w:val="none"/>
          <w:lang w:val="en-US" w:eastAsia="zh-CN" w:bidi="ar"/>
        </w:rPr>
        <w:t xml:space="preserve">软件适配列表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spacing w:val="-2"/>
          <w:lang w:val="en-US" w:eastAsia="zh-CN"/>
        </w:rPr>
      </w:pPr>
      <w:r>
        <w:rPr>
          <w:rFonts w:hint="eastAsia"/>
          <w:spacing w:val="-2"/>
          <w:lang w:val="en-US" w:eastAsia="zh-CN"/>
        </w:rPr>
        <w:t>·虚拟化平台</w:t>
      </w:r>
    </w:p>
    <w:p>
      <w:pPr>
        <w:keepNext w:val="0"/>
        <w:keepLines w:val="0"/>
        <w:widowControl/>
        <w:suppressLineNumbers w:val="0"/>
        <w:jc w:val="left"/>
        <w:rPr>
          <w:rFonts w:hint="default" w:ascii="微软雅黑" w:hAnsi="微软雅黑" w:eastAsia="微软雅黑" w:cs="微软雅黑"/>
          <w:color w:val="58595B"/>
          <w:kern w:val="0"/>
          <w:sz w:val="15"/>
          <w:szCs w:val="15"/>
          <w:lang w:val="en-US" w:eastAsia="zh-CN" w:bidi="ar"/>
        </w:rPr>
      </w:pPr>
      <w:r>
        <w:rPr>
          <w:rFonts w:hint="eastAsia" w:ascii="微软雅黑" w:hAnsi="微软雅黑" w:eastAsia="微软雅黑" w:cs="微软雅黑"/>
          <w:color w:val="58595B"/>
          <w:kern w:val="0"/>
          <w:sz w:val="15"/>
          <w:szCs w:val="15"/>
          <w:lang w:bidi="ar"/>
        </w:rPr>
        <w:t>Linux</w:t>
      </w:r>
      <w:r>
        <w:rPr>
          <w:rFonts w:hint="eastAsia" w:ascii="微软雅黑" w:hAnsi="微软雅黑" w:eastAsia="微软雅黑" w:cs="微软雅黑"/>
          <w:color w:val="58595B"/>
          <w:kern w:val="0"/>
          <w:sz w:val="15"/>
          <w:szCs w:val="15"/>
          <w:lang w:val="en-US" w:eastAsia="zh-CN" w:bidi="ar"/>
        </w:rPr>
        <w:t xml:space="preserve"> KVM</w:t>
      </w:r>
    </w:p>
    <w:p>
      <w:pPr>
        <w:keepNext w:val="0"/>
        <w:keepLines w:val="0"/>
        <w:widowControl/>
        <w:suppressLineNumbers w:val="0"/>
        <w:jc w:val="left"/>
        <w:rPr>
          <w:rFonts w:hint="eastAsia" w:ascii="微软雅黑" w:hAnsi="微软雅黑" w:eastAsia="微软雅黑" w:cs="微软雅黑"/>
          <w:color w:val="58595B"/>
          <w:kern w:val="0"/>
          <w:sz w:val="15"/>
          <w:szCs w:val="15"/>
          <w:lang w:bidi="ar"/>
        </w:rPr>
      </w:pPr>
      <w:r>
        <w:rPr>
          <w:rFonts w:hint="eastAsia" w:ascii="微软雅黑" w:hAnsi="微软雅黑" w:eastAsia="微软雅黑" w:cs="微软雅黑"/>
          <w:color w:val="58595B"/>
          <w:kern w:val="0"/>
          <w:sz w:val="15"/>
          <w:szCs w:val="15"/>
          <w:lang w:bidi="ar"/>
        </w:rPr>
        <w:t>Amazon Web Services EC2</w:t>
      </w:r>
    </w:p>
    <w:p>
      <w:pPr>
        <w:keepNext w:val="0"/>
        <w:keepLines w:val="0"/>
        <w:widowControl/>
        <w:suppressLineNumbers w:val="0"/>
        <w:jc w:val="left"/>
        <w:rPr>
          <w:rFonts w:hint="eastAsia" w:ascii="微软雅黑" w:hAnsi="微软雅黑" w:eastAsia="微软雅黑" w:cs="微软雅黑"/>
          <w:color w:val="58595B"/>
          <w:kern w:val="0"/>
          <w:sz w:val="15"/>
          <w:szCs w:val="15"/>
          <w:lang w:bidi="ar"/>
        </w:rPr>
      </w:pPr>
      <w:r>
        <w:rPr>
          <w:rFonts w:hint="eastAsia" w:ascii="微软雅黑" w:hAnsi="微软雅黑" w:eastAsia="微软雅黑" w:cs="微软雅黑"/>
          <w:color w:val="58595B"/>
          <w:kern w:val="0"/>
          <w:sz w:val="15"/>
          <w:szCs w:val="15"/>
          <w:lang w:bidi="ar"/>
        </w:rPr>
        <w:t>VMware vSphere</w:t>
      </w:r>
    </w:p>
    <w:p>
      <w:pPr>
        <w:keepNext w:val="0"/>
        <w:keepLines w:val="0"/>
        <w:widowControl/>
        <w:suppressLineNumbers w:val="0"/>
        <w:jc w:val="left"/>
        <w:rPr>
          <w:rFonts w:hint="eastAsia" w:ascii="微软雅黑" w:hAnsi="微软雅黑" w:eastAsia="微软雅黑" w:cs="微软雅黑"/>
          <w:color w:val="58595B"/>
          <w:kern w:val="0"/>
          <w:sz w:val="15"/>
          <w:szCs w:val="15"/>
          <w:lang w:bidi="ar"/>
        </w:rPr>
      </w:pPr>
      <w:r>
        <w:rPr>
          <w:rFonts w:hint="eastAsia" w:ascii="微软雅黑" w:hAnsi="微软雅黑" w:eastAsia="微软雅黑" w:cs="微软雅黑"/>
          <w:color w:val="58595B"/>
          <w:kern w:val="0"/>
          <w:sz w:val="15"/>
          <w:szCs w:val="15"/>
          <w:lang w:bidi="ar"/>
        </w:rPr>
        <w:t>Microsoft Hyper-V</w:t>
      </w:r>
    </w:p>
    <w:p>
      <w:pPr>
        <w:keepNext w:val="0"/>
        <w:keepLines w:val="0"/>
        <w:widowControl/>
        <w:suppressLineNumbers w:val="0"/>
        <w:jc w:val="left"/>
        <w:rPr>
          <w:rFonts w:hint="eastAsia" w:ascii="微软雅黑" w:hAnsi="微软雅黑" w:eastAsia="微软雅黑" w:cs="微软雅黑"/>
          <w:color w:val="58595B"/>
          <w:kern w:val="0"/>
          <w:sz w:val="15"/>
          <w:szCs w:val="15"/>
          <w:lang w:bidi="ar"/>
        </w:rPr>
      </w:pPr>
      <w:r>
        <w:rPr>
          <w:rFonts w:hint="eastAsia" w:ascii="微软雅黑" w:hAnsi="微软雅黑" w:eastAsia="微软雅黑" w:cs="微软雅黑"/>
          <w:color w:val="58595B"/>
          <w:kern w:val="0"/>
          <w:sz w:val="15"/>
          <w:szCs w:val="15"/>
          <w:lang w:bidi="ar"/>
        </w:rPr>
        <w:t>Citrix XenServer</w:t>
      </w:r>
    </w:p>
    <w:p>
      <w:pPr>
        <w:keepNext w:val="0"/>
        <w:keepLines w:val="0"/>
        <w:widowControl/>
        <w:suppressLineNumbers w:val="0"/>
        <w:jc w:val="left"/>
        <w:rPr>
          <w:rFonts w:hint="eastAsia" w:ascii="微软雅黑" w:hAnsi="微软雅黑" w:eastAsia="微软雅黑" w:cs="微软雅黑"/>
          <w:color w:val="58595B"/>
          <w:kern w:val="0"/>
          <w:sz w:val="15"/>
          <w:szCs w:val="15"/>
          <w:lang w:bidi="ar"/>
        </w:rPr>
      </w:pPr>
      <w:r>
        <w:rPr>
          <w:rFonts w:hint="eastAsia" w:ascii="微软雅黑" w:hAnsi="微软雅黑" w:eastAsia="微软雅黑" w:cs="微软雅黑"/>
          <w:color w:val="58595B"/>
          <w:kern w:val="0"/>
          <w:sz w:val="15"/>
          <w:szCs w:val="15"/>
          <w:lang w:bidi="ar"/>
        </w:rPr>
        <w:t>Community Xen</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spacing w:val="-2"/>
          <w:lang w:val="en-US" w:eastAsia="zh-CN"/>
        </w:rPr>
      </w:pPr>
      <w:r>
        <w:rPr>
          <w:rFonts w:hint="eastAsia"/>
          <w:spacing w:val="-2"/>
          <w:lang w:val="en-US" w:eastAsia="zh-CN"/>
        </w:rPr>
        <w:t>·云管平台</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spacing w:val="-2"/>
          <w:lang w:val="en-US" w:eastAsia="zh-CN"/>
        </w:rPr>
      </w:pPr>
      <w:r>
        <w:rPr>
          <w:rFonts w:hint="eastAsia"/>
          <w:spacing w:val="-2"/>
          <w:lang w:val="en-US" w:eastAsia="zh-CN"/>
        </w:rPr>
        <w:t>Rancher</w:t>
      </w:r>
    </w:p>
    <w:p>
      <w:pPr>
        <w:keepNext w:val="0"/>
        <w:keepLines w:val="0"/>
        <w:widowControl/>
        <w:suppressLineNumbers w:val="0"/>
        <w:jc w:val="left"/>
      </w:pPr>
      <w:r>
        <w:rPr>
          <w:rFonts w:hint="eastAsia" w:ascii="微软雅黑" w:hAnsi="微软雅黑" w:eastAsia="微软雅黑" w:cs="微软雅黑"/>
          <w:color w:val="141414"/>
          <w:kern w:val="0"/>
          <w:sz w:val="20"/>
          <w:szCs w:val="20"/>
          <w:lang w:val="en-US" w:eastAsia="zh-CN" w:bidi="ar"/>
        </w:rPr>
        <w:t xml:space="preserve">主要性能参数 </w:t>
      </w:r>
    </w:p>
    <w:tbl>
      <w:tblPr>
        <w:tblStyle w:val="3"/>
        <w:tblW w:w="4998" w:type="pct"/>
        <w:tblInd w:w="0" w:type="dxa"/>
        <w:tblLayout w:type="autofit"/>
        <w:tblCellMar>
          <w:top w:w="0" w:type="dxa"/>
          <w:left w:w="108" w:type="dxa"/>
          <w:bottom w:w="0" w:type="dxa"/>
          <w:right w:w="108" w:type="dxa"/>
        </w:tblCellMar>
      </w:tblPr>
      <w:tblGrid>
        <w:gridCol w:w="2825"/>
        <w:gridCol w:w="2882"/>
        <w:gridCol w:w="2812"/>
      </w:tblGrid>
      <w:tr>
        <w:tblPrEx>
          <w:tblCellMar>
            <w:top w:w="0" w:type="dxa"/>
            <w:left w:w="108" w:type="dxa"/>
            <w:bottom w:w="0" w:type="dxa"/>
            <w:right w:w="108" w:type="dxa"/>
          </w:tblCellMar>
        </w:tblPrEx>
        <w:trPr>
          <w:trHeight w:val="348" w:hRule="atLeast"/>
        </w:trPr>
        <w:tc>
          <w:tcPr>
            <w:tcW w:w="1658" w:type="pct"/>
            <w:tcBorders>
              <w:top w:val="nil"/>
              <w:left w:val="nil"/>
              <w:bottom w:val="nil"/>
              <w:right w:val="nil"/>
            </w:tcBorders>
            <w:shd w:val="clear" w:color="auto" w:fill="auto"/>
            <w:noWrap/>
            <w:vAlign w:val="center"/>
          </w:tcPr>
          <w:p>
            <w:pPr>
              <w:jc w:val="left"/>
              <w:rPr>
                <w:rFonts w:ascii="微软雅黑" w:hAnsi="微软雅黑" w:eastAsia="微软雅黑" w:cs="微软雅黑"/>
                <w:color w:val="000000"/>
                <w:sz w:val="15"/>
                <w:szCs w:val="15"/>
              </w:rPr>
            </w:pPr>
          </w:p>
        </w:tc>
        <w:tc>
          <w:tcPr>
            <w:tcW w:w="3341" w:type="pct"/>
            <w:gridSpan w:val="2"/>
            <w:tcBorders>
              <w:top w:val="single" w:color="FFFFFF" w:sz="4" w:space="0"/>
              <w:left w:val="nil"/>
              <w:bottom w:val="single" w:color="FFFFFF" w:sz="4" w:space="0"/>
              <w:right w:val="single" w:color="FFFFFF" w:sz="4" w:space="0"/>
            </w:tcBorders>
            <w:shd w:val="clear" w:color="auto" w:fill="auto"/>
            <w:noWrap/>
            <w:vAlign w:val="center"/>
          </w:tcPr>
          <w:p>
            <w:pPr>
              <w:widowControl/>
              <w:jc w:val="center"/>
              <w:textAlignment w:val="center"/>
              <w:rPr>
                <w:rFonts w:ascii="微软雅黑" w:hAnsi="微软雅黑" w:eastAsia="微软雅黑" w:cs="微软雅黑"/>
                <w:color w:val="C00000"/>
                <w:sz w:val="24"/>
              </w:rPr>
            </w:pPr>
            <w:r>
              <w:rPr>
                <w:rFonts w:hint="eastAsia" w:ascii="微软雅黑" w:hAnsi="微软雅黑" w:eastAsia="微软雅黑" w:cs="微软雅黑"/>
                <w:color w:val="C00000"/>
                <w:kern w:val="0"/>
                <w:sz w:val="24"/>
                <w:lang w:bidi="ar"/>
              </w:rPr>
              <w:t>YK-VADC性能</w:t>
            </w:r>
          </w:p>
        </w:tc>
      </w:tr>
      <w:tr>
        <w:tblPrEx>
          <w:tblCellMar>
            <w:top w:w="0" w:type="dxa"/>
            <w:left w:w="108" w:type="dxa"/>
            <w:bottom w:w="0" w:type="dxa"/>
            <w:right w:w="108" w:type="dxa"/>
          </w:tblCellMar>
        </w:tblPrEx>
        <w:trPr>
          <w:trHeight w:val="288" w:hRule="atLeast"/>
        </w:trPr>
        <w:tc>
          <w:tcPr>
            <w:tcW w:w="1658" w:type="pct"/>
            <w:tcBorders>
              <w:top w:val="nil"/>
              <w:left w:val="single" w:color="FFFFFF" w:sz="4" w:space="0"/>
              <w:bottom w:val="single" w:color="FFFFFF" w:sz="4" w:space="0"/>
              <w:right w:val="single" w:color="FFFFFF" w:sz="4" w:space="0"/>
            </w:tcBorders>
            <w:shd w:val="clear" w:color="auto" w:fill="D9D9D9"/>
            <w:vAlign w:val="center"/>
          </w:tcPr>
          <w:p>
            <w:pPr>
              <w:widowControl/>
              <w:jc w:val="center"/>
              <w:textAlignment w:val="center"/>
              <w:rPr>
                <w:rFonts w:ascii="微软雅黑" w:hAnsi="微软雅黑" w:eastAsia="微软雅黑" w:cs="微软雅黑"/>
                <w:color w:val="0064A4"/>
                <w:sz w:val="15"/>
                <w:szCs w:val="15"/>
              </w:rPr>
            </w:pPr>
            <w:r>
              <w:rPr>
                <w:rFonts w:hint="eastAsia" w:ascii="微软雅黑" w:hAnsi="微软雅黑" w:eastAsia="微软雅黑" w:cs="微软雅黑"/>
                <w:color w:val="0064A4"/>
                <w:kern w:val="0"/>
                <w:sz w:val="15"/>
                <w:szCs w:val="15"/>
                <w:lang w:bidi="ar"/>
              </w:rPr>
              <w:t>性能</w:t>
            </w:r>
          </w:p>
        </w:tc>
        <w:tc>
          <w:tcPr>
            <w:tcW w:w="1691" w:type="pct"/>
            <w:tcBorders>
              <w:top w:val="nil"/>
              <w:left w:val="nil"/>
              <w:bottom w:val="single" w:color="D9D9D9" w:sz="4" w:space="0"/>
              <w:right w:val="single" w:color="D9D9D9" w:sz="4" w:space="0"/>
            </w:tcBorders>
            <w:shd w:val="clear" w:color="auto" w:fill="auto"/>
            <w:vAlign w:val="center"/>
          </w:tcPr>
          <w:p>
            <w:pPr>
              <w:widowControl/>
              <w:jc w:val="center"/>
              <w:textAlignment w:val="center"/>
              <w:rPr>
                <w:rFonts w:ascii="微软雅黑" w:hAnsi="微软雅黑" w:eastAsia="微软雅黑" w:cs="微软雅黑"/>
                <w:color w:val="0064A4"/>
                <w:sz w:val="15"/>
                <w:szCs w:val="15"/>
              </w:rPr>
            </w:pPr>
            <w:r>
              <w:rPr>
                <w:rFonts w:hint="eastAsia" w:ascii="微软雅黑" w:hAnsi="微软雅黑" w:eastAsia="微软雅黑" w:cs="微软雅黑"/>
                <w:color w:val="0064A4"/>
                <w:kern w:val="0"/>
                <w:sz w:val="15"/>
                <w:szCs w:val="15"/>
                <w:lang w:bidi="ar"/>
              </w:rPr>
              <w:t>起始值</w:t>
            </w:r>
          </w:p>
        </w:tc>
        <w:tc>
          <w:tcPr>
            <w:tcW w:w="1650" w:type="pct"/>
            <w:tcBorders>
              <w:top w:val="nil"/>
              <w:left w:val="single" w:color="D9D9D9" w:sz="4" w:space="0"/>
              <w:bottom w:val="single" w:color="D9D9D9" w:sz="4" w:space="0"/>
              <w:right w:val="single" w:color="D9D9D9" w:sz="4" w:space="0"/>
            </w:tcBorders>
            <w:shd w:val="clear" w:color="auto" w:fill="auto"/>
            <w:vAlign w:val="center"/>
          </w:tcPr>
          <w:p>
            <w:pPr>
              <w:widowControl/>
              <w:jc w:val="center"/>
              <w:textAlignment w:val="center"/>
              <w:rPr>
                <w:rFonts w:ascii="微软雅黑" w:hAnsi="微软雅黑" w:eastAsia="微软雅黑" w:cs="微软雅黑"/>
                <w:color w:val="0064A4"/>
                <w:sz w:val="15"/>
                <w:szCs w:val="15"/>
              </w:rPr>
            </w:pPr>
            <w:r>
              <w:rPr>
                <w:rFonts w:hint="eastAsia" w:ascii="微软雅黑" w:hAnsi="微软雅黑" w:eastAsia="微软雅黑" w:cs="微软雅黑"/>
                <w:color w:val="0064A4"/>
                <w:kern w:val="0"/>
                <w:sz w:val="15"/>
                <w:szCs w:val="15"/>
                <w:lang w:bidi="ar"/>
              </w:rPr>
              <w:t>最大值</w:t>
            </w:r>
          </w:p>
        </w:tc>
      </w:tr>
      <w:tr>
        <w:tblPrEx>
          <w:tblCellMar>
            <w:top w:w="0" w:type="dxa"/>
            <w:left w:w="108" w:type="dxa"/>
            <w:bottom w:w="0" w:type="dxa"/>
            <w:right w:w="108" w:type="dxa"/>
          </w:tblCellMar>
        </w:tblPrEx>
        <w:trPr>
          <w:trHeight w:val="528" w:hRule="atLeast"/>
        </w:trPr>
        <w:tc>
          <w:tcPr>
            <w:tcW w:w="1658" w:type="pct"/>
            <w:tcBorders>
              <w:top w:val="single" w:color="FFFFFF" w:sz="4" w:space="0"/>
              <w:left w:val="single" w:color="FFFFFF" w:sz="4" w:space="0"/>
              <w:bottom w:val="single" w:color="FFFFFF" w:sz="4" w:space="0"/>
              <w:right w:val="single" w:color="FFFFFF" w:sz="4" w:space="0"/>
            </w:tcBorders>
            <w:shd w:val="clear" w:color="auto" w:fill="D9D9D9"/>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每秒 L7 请求数</w:t>
            </w:r>
          </w:p>
        </w:tc>
        <w:tc>
          <w:tcPr>
            <w:tcW w:w="1691" w:type="pct"/>
            <w:tcBorders>
              <w:top w:val="single" w:color="D9D9D9" w:sz="4" w:space="0"/>
              <w:left w:val="nil"/>
              <w:bottom w:val="single" w:color="D9D9D9" w:sz="4" w:space="0"/>
              <w:right w:val="single" w:color="D9D9D9" w:sz="4" w:space="0"/>
            </w:tcBorders>
            <w:shd w:val="clear" w:color="auto" w:fill="auto"/>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3,000</w:t>
            </w:r>
          </w:p>
        </w:tc>
        <w:tc>
          <w:tcPr>
            <w:tcW w:w="1650" w:type="pct"/>
            <w:tcBorders>
              <w:top w:val="single" w:color="D9D9D9" w:sz="4" w:space="0"/>
              <w:left w:val="single" w:color="D9D9D9" w:sz="4" w:space="0"/>
              <w:bottom w:val="single" w:color="D9D9D9" w:sz="4" w:space="0"/>
              <w:right w:val="single" w:color="D9D9D9" w:sz="4" w:space="0"/>
            </w:tcBorders>
            <w:shd w:val="clear" w:color="auto" w:fill="auto"/>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450,000</w:t>
            </w:r>
          </w:p>
        </w:tc>
      </w:tr>
      <w:tr>
        <w:tblPrEx>
          <w:tblCellMar>
            <w:top w:w="0" w:type="dxa"/>
            <w:left w:w="108" w:type="dxa"/>
            <w:bottom w:w="0" w:type="dxa"/>
            <w:right w:w="108" w:type="dxa"/>
          </w:tblCellMar>
        </w:tblPrEx>
        <w:trPr>
          <w:trHeight w:val="528" w:hRule="atLeast"/>
        </w:trPr>
        <w:tc>
          <w:tcPr>
            <w:tcW w:w="1658" w:type="pct"/>
            <w:tcBorders>
              <w:top w:val="single" w:color="FFFFFF" w:sz="4" w:space="0"/>
              <w:left w:val="single" w:color="FFFFFF" w:sz="4" w:space="0"/>
              <w:bottom w:val="single" w:color="FFFFFF" w:sz="4" w:space="0"/>
              <w:right w:val="single" w:color="FFFFFF" w:sz="4" w:space="0"/>
            </w:tcBorders>
            <w:shd w:val="clear" w:color="auto" w:fill="D9D9D9"/>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每秒 L4 连接数</w:t>
            </w:r>
          </w:p>
        </w:tc>
        <w:tc>
          <w:tcPr>
            <w:tcW w:w="1691" w:type="pct"/>
            <w:tcBorders>
              <w:top w:val="single" w:color="D9D9D9" w:sz="4" w:space="0"/>
              <w:left w:val="nil"/>
              <w:bottom w:val="single" w:color="D9D9D9" w:sz="4" w:space="0"/>
              <w:right w:val="single" w:color="D9D9D9" w:sz="4" w:space="0"/>
            </w:tcBorders>
            <w:shd w:val="clear" w:color="auto" w:fill="auto"/>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2,000</w:t>
            </w:r>
          </w:p>
        </w:tc>
        <w:tc>
          <w:tcPr>
            <w:tcW w:w="1650" w:type="pct"/>
            <w:tcBorders>
              <w:top w:val="single" w:color="D9D9D9" w:sz="4" w:space="0"/>
              <w:left w:val="single" w:color="D9D9D9" w:sz="4" w:space="0"/>
              <w:bottom w:val="single" w:color="D9D9D9" w:sz="4" w:space="0"/>
              <w:right w:val="single" w:color="D9D9D9" w:sz="4" w:space="0"/>
            </w:tcBorders>
            <w:shd w:val="clear" w:color="auto" w:fill="auto"/>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135,000</w:t>
            </w:r>
          </w:p>
        </w:tc>
      </w:tr>
      <w:tr>
        <w:tblPrEx>
          <w:tblCellMar>
            <w:top w:w="0" w:type="dxa"/>
            <w:left w:w="108" w:type="dxa"/>
            <w:bottom w:w="0" w:type="dxa"/>
            <w:right w:w="108" w:type="dxa"/>
          </w:tblCellMar>
        </w:tblPrEx>
        <w:trPr>
          <w:trHeight w:val="288" w:hRule="atLeast"/>
        </w:trPr>
        <w:tc>
          <w:tcPr>
            <w:tcW w:w="1658" w:type="pct"/>
            <w:tcBorders>
              <w:top w:val="single" w:color="FFFFFF" w:sz="4" w:space="0"/>
              <w:left w:val="single" w:color="FFFFFF" w:sz="4" w:space="0"/>
              <w:bottom w:val="single" w:color="FFFFFF" w:sz="4" w:space="0"/>
              <w:right w:val="single" w:color="FFFFFF" w:sz="4" w:space="0"/>
            </w:tcBorders>
            <w:shd w:val="clear" w:color="auto" w:fill="D9D9D9"/>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吞吐量</w:t>
            </w:r>
          </w:p>
        </w:tc>
        <w:tc>
          <w:tcPr>
            <w:tcW w:w="1691" w:type="pct"/>
            <w:tcBorders>
              <w:top w:val="single" w:color="D9D9D9" w:sz="4" w:space="0"/>
              <w:left w:val="nil"/>
              <w:bottom w:val="single" w:color="D9D9D9" w:sz="4" w:space="0"/>
              <w:right w:val="single" w:color="D9D9D9" w:sz="4" w:space="0"/>
            </w:tcBorders>
            <w:shd w:val="clear" w:color="auto" w:fill="auto"/>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200 Mbps</w:t>
            </w:r>
          </w:p>
        </w:tc>
        <w:tc>
          <w:tcPr>
            <w:tcW w:w="1650" w:type="pct"/>
            <w:tcBorders>
              <w:top w:val="single" w:color="D9D9D9" w:sz="4" w:space="0"/>
              <w:left w:val="single" w:color="D9D9D9" w:sz="4" w:space="0"/>
              <w:bottom w:val="single" w:color="D9D9D9" w:sz="4" w:space="0"/>
              <w:right w:val="single" w:color="D9D9D9" w:sz="4" w:space="0"/>
            </w:tcBorders>
            <w:shd w:val="clear" w:color="auto" w:fill="auto"/>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10 Gbps</w:t>
            </w:r>
          </w:p>
        </w:tc>
      </w:tr>
      <w:tr>
        <w:tblPrEx>
          <w:tblCellMar>
            <w:top w:w="0" w:type="dxa"/>
            <w:left w:w="108" w:type="dxa"/>
            <w:bottom w:w="0" w:type="dxa"/>
            <w:right w:w="108" w:type="dxa"/>
          </w:tblCellMar>
        </w:tblPrEx>
        <w:trPr>
          <w:trHeight w:val="860" w:hRule="atLeast"/>
        </w:trPr>
        <w:tc>
          <w:tcPr>
            <w:tcW w:w="1658" w:type="pct"/>
            <w:tcBorders>
              <w:top w:val="single" w:color="FFFFFF" w:sz="4" w:space="0"/>
              <w:left w:val="single" w:color="FFFFFF" w:sz="4" w:space="0"/>
              <w:bottom w:val="single" w:color="FFFFFF" w:sz="4" w:space="0"/>
              <w:right w:val="single" w:color="FFFFFF" w:sz="4" w:space="0"/>
            </w:tcBorders>
            <w:shd w:val="clear" w:color="auto" w:fill="D9D9D9"/>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最大连接数量</w:t>
            </w:r>
          </w:p>
        </w:tc>
        <w:tc>
          <w:tcPr>
            <w:tcW w:w="1691" w:type="pct"/>
            <w:tcBorders>
              <w:top w:val="single" w:color="D9D9D9" w:sz="4" w:space="0"/>
              <w:left w:val="nil"/>
              <w:bottom w:val="single" w:color="D9D9D9" w:sz="4" w:space="0"/>
              <w:right w:val="single" w:color="D9D9D9" w:sz="4" w:space="0"/>
            </w:tcBorders>
            <w:shd w:val="clear" w:color="auto" w:fill="auto"/>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100 万</w:t>
            </w:r>
          </w:p>
        </w:tc>
        <w:tc>
          <w:tcPr>
            <w:tcW w:w="1650" w:type="pct"/>
            <w:tcBorders>
              <w:top w:val="single" w:color="D9D9D9" w:sz="4" w:space="0"/>
              <w:left w:val="single" w:color="D9D9D9" w:sz="4" w:space="0"/>
              <w:bottom w:val="single" w:color="D9D9D9" w:sz="4" w:space="0"/>
              <w:right w:val="single" w:color="D9D9D9" w:sz="4" w:space="0"/>
            </w:tcBorders>
            <w:shd w:val="clear" w:color="auto" w:fill="auto"/>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1000 万</w:t>
            </w:r>
          </w:p>
        </w:tc>
      </w:tr>
      <w:tr>
        <w:tblPrEx>
          <w:tblCellMar>
            <w:top w:w="0" w:type="dxa"/>
            <w:left w:w="108" w:type="dxa"/>
            <w:bottom w:w="0" w:type="dxa"/>
            <w:right w:w="108" w:type="dxa"/>
          </w:tblCellMar>
        </w:tblPrEx>
        <w:trPr>
          <w:trHeight w:val="319" w:hRule="atLeast"/>
        </w:trPr>
        <w:tc>
          <w:tcPr>
            <w:tcW w:w="1658" w:type="pct"/>
            <w:vMerge w:val="restart"/>
            <w:tcBorders>
              <w:top w:val="single" w:color="FFFFFF" w:sz="4" w:space="0"/>
              <w:left w:val="single" w:color="FFFFFF" w:sz="4" w:space="0"/>
              <w:bottom w:val="single" w:color="FFFFFF" w:sz="4" w:space="0"/>
              <w:right w:val="single" w:color="FFFFFF" w:sz="4" w:space="0"/>
            </w:tcBorders>
            <w:shd w:val="clear" w:color="auto" w:fill="D9D9D9"/>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最大 SSL TPS（1,000 密钥/2,000 密</w:t>
            </w:r>
            <w:r>
              <w:rPr>
                <w:rFonts w:hint="eastAsia" w:ascii="微软雅黑" w:hAnsi="微软雅黑" w:eastAsia="微软雅黑" w:cs="微软雅黑"/>
                <w:color w:val="58595B"/>
                <w:kern w:val="0"/>
                <w:sz w:val="15"/>
                <w:szCs w:val="15"/>
                <w:lang w:bidi="ar"/>
              </w:rPr>
              <w:br w:type="textWrapping"/>
            </w:r>
            <w:r>
              <w:rPr>
                <w:rFonts w:hint="eastAsia" w:ascii="微软雅黑" w:hAnsi="微软雅黑" w:eastAsia="微软雅黑" w:cs="微软雅黑"/>
                <w:color w:val="58595B"/>
                <w:kern w:val="0"/>
                <w:sz w:val="15"/>
                <w:szCs w:val="15"/>
                <w:lang w:bidi="ar"/>
              </w:rPr>
              <w:t>钥）</w:t>
            </w:r>
          </w:p>
        </w:tc>
        <w:tc>
          <w:tcPr>
            <w:tcW w:w="1691" w:type="pct"/>
            <w:vMerge w:val="restart"/>
            <w:tcBorders>
              <w:top w:val="single" w:color="D9D9D9" w:sz="4" w:space="0"/>
              <w:left w:val="nil"/>
              <w:bottom w:val="single" w:color="D9D9D9" w:sz="4" w:space="0"/>
              <w:right w:val="single" w:color="D9D9D9" w:sz="4" w:space="0"/>
            </w:tcBorders>
            <w:shd w:val="clear" w:color="auto" w:fill="auto"/>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900/900</w:t>
            </w:r>
          </w:p>
        </w:tc>
        <w:tc>
          <w:tcPr>
            <w:tcW w:w="1650" w:type="pct"/>
            <w:vMerge w:val="restart"/>
            <w:tcBorders>
              <w:top w:val="single" w:color="D9D9D9" w:sz="4" w:space="0"/>
              <w:left w:val="single" w:color="D9D9D9" w:sz="4" w:space="0"/>
              <w:bottom w:val="single" w:color="D9D9D9" w:sz="4" w:space="0"/>
              <w:right w:val="single" w:color="D9D9D9" w:sz="4" w:space="0"/>
            </w:tcBorders>
            <w:shd w:val="clear" w:color="auto" w:fill="auto"/>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12,000/3,550</w:t>
            </w:r>
          </w:p>
        </w:tc>
      </w:tr>
      <w:tr>
        <w:tblPrEx>
          <w:tblCellMar>
            <w:top w:w="0" w:type="dxa"/>
            <w:left w:w="108" w:type="dxa"/>
            <w:bottom w:w="0" w:type="dxa"/>
            <w:right w:w="108" w:type="dxa"/>
          </w:tblCellMar>
        </w:tblPrEx>
        <w:trPr>
          <w:trHeight w:val="319" w:hRule="atLeast"/>
        </w:trPr>
        <w:tc>
          <w:tcPr>
            <w:tcW w:w="1658" w:type="pct"/>
            <w:vMerge w:val="continue"/>
            <w:tcBorders>
              <w:top w:val="single" w:color="FFFFFF" w:sz="4" w:space="0"/>
              <w:left w:val="single" w:color="FFFFFF" w:sz="4" w:space="0"/>
              <w:bottom w:val="single" w:color="FFFFFF" w:sz="4" w:space="0"/>
              <w:right w:val="single" w:color="FFFFFF" w:sz="4" w:space="0"/>
            </w:tcBorders>
            <w:shd w:val="clear" w:color="auto" w:fill="D9D9D9"/>
            <w:vAlign w:val="center"/>
          </w:tcPr>
          <w:p>
            <w:pPr>
              <w:jc w:val="left"/>
              <w:rPr>
                <w:rFonts w:ascii="微软雅黑" w:hAnsi="微软雅黑" w:eastAsia="微软雅黑" w:cs="微软雅黑"/>
                <w:color w:val="58595B"/>
                <w:sz w:val="15"/>
                <w:szCs w:val="15"/>
              </w:rPr>
            </w:pPr>
          </w:p>
        </w:tc>
        <w:tc>
          <w:tcPr>
            <w:tcW w:w="1691" w:type="pct"/>
            <w:vMerge w:val="continue"/>
            <w:tcBorders>
              <w:top w:val="single" w:color="D9D9D9" w:sz="4" w:space="0"/>
              <w:left w:val="nil"/>
              <w:bottom w:val="single" w:color="D9D9D9" w:sz="4" w:space="0"/>
              <w:right w:val="single" w:color="D9D9D9" w:sz="4" w:space="0"/>
            </w:tcBorders>
            <w:shd w:val="clear" w:color="auto" w:fill="auto"/>
            <w:vAlign w:val="center"/>
          </w:tcPr>
          <w:p>
            <w:pPr>
              <w:jc w:val="left"/>
              <w:rPr>
                <w:rFonts w:ascii="微软雅黑" w:hAnsi="微软雅黑" w:eastAsia="微软雅黑" w:cs="微软雅黑"/>
                <w:color w:val="58595B"/>
                <w:sz w:val="15"/>
                <w:szCs w:val="15"/>
              </w:rPr>
            </w:pPr>
          </w:p>
        </w:tc>
        <w:tc>
          <w:tcPr>
            <w:tcW w:w="1650" w:type="pct"/>
            <w:vMerge w:val="continue"/>
            <w:tcBorders>
              <w:top w:val="single" w:color="D9D9D9" w:sz="4" w:space="0"/>
              <w:left w:val="single" w:color="D9D9D9" w:sz="4" w:space="0"/>
              <w:bottom w:val="single" w:color="D9D9D9" w:sz="4" w:space="0"/>
              <w:right w:val="single" w:color="D9D9D9" w:sz="4" w:space="0"/>
            </w:tcBorders>
            <w:shd w:val="clear" w:color="auto" w:fill="auto"/>
            <w:vAlign w:val="center"/>
          </w:tcPr>
          <w:p>
            <w:pPr>
              <w:jc w:val="left"/>
              <w:rPr>
                <w:rFonts w:ascii="微软雅黑" w:hAnsi="微软雅黑" w:eastAsia="微软雅黑" w:cs="微软雅黑"/>
                <w:color w:val="58595B"/>
                <w:sz w:val="15"/>
                <w:szCs w:val="15"/>
              </w:rPr>
            </w:pPr>
          </w:p>
        </w:tc>
      </w:tr>
      <w:tr>
        <w:tblPrEx>
          <w:tblCellMar>
            <w:top w:w="0" w:type="dxa"/>
            <w:left w:w="108" w:type="dxa"/>
            <w:bottom w:w="0" w:type="dxa"/>
            <w:right w:w="108" w:type="dxa"/>
          </w:tblCellMar>
        </w:tblPrEx>
        <w:trPr>
          <w:trHeight w:val="288" w:hRule="atLeast"/>
        </w:trPr>
        <w:tc>
          <w:tcPr>
            <w:tcW w:w="1658" w:type="pct"/>
            <w:tcBorders>
              <w:top w:val="single" w:color="FFFFFF" w:sz="4" w:space="0"/>
              <w:left w:val="single" w:color="FFFFFF" w:sz="4" w:space="0"/>
              <w:bottom w:val="single" w:color="FFFFFF" w:sz="4" w:space="0"/>
              <w:right w:val="single" w:color="FFFFFF" w:sz="4" w:space="0"/>
            </w:tcBorders>
            <w:shd w:val="clear" w:color="auto" w:fill="D9D9D9"/>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SSL 吞吐量</w:t>
            </w:r>
          </w:p>
        </w:tc>
        <w:tc>
          <w:tcPr>
            <w:tcW w:w="1691" w:type="pct"/>
            <w:tcBorders>
              <w:top w:val="single" w:color="D9D9D9" w:sz="4" w:space="0"/>
              <w:left w:val="nil"/>
              <w:bottom w:val="single" w:color="D9D9D9" w:sz="4" w:space="0"/>
              <w:right w:val="single" w:color="D9D9D9" w:sz="4" w:space="0"/>
            </w:tcBorders>
            <w:shd w:val="clear" w:color="auto" w:fill="auto"/>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23 Mbps</w:t>
            </w:r>
          </w:p>
        </w:tc>
        <w:tc>
          <w:tcPr>
            <w:tcW w:w="1650" w:type="pct"/>
            <w:tcBorders>
              <w:top w:val="single" w:color="D9D9D9" w:sz="4" w:space="0"/>
              <w:left w:val="single" w:color="D9D9D9" w:sz="4" w:space="0"/>
              <w:bottom w:val="single" w:color="D9D9D9" w:sz="4" w:space="0"/>
              <w:right w:val="single" w:color="D9D9D9" w:sz="4" w:space="0"/>
            </w:tcBorders>
            <w:shd w:val="clear" w:color="auto" w:fill="auto"/>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4 Gbps</w:t>
            </w:r>
          </w:p>
        </w:tc>
      </w:tr>
      <w:tr>
        <w:tblPrEx>
          <w:tblCellMar>
            <w:top w:w="0" w:type="dxa"/>
            <w:left w:w="108" w:type="dxa"/>
            <w:bottom w:w="0" w:type="dxa"/>
            <w:right w:w="108" w:type="dxa"/>
          </w:tblCellMar>
        </w:tblPrEx>
        <w:trPr>
          <w:trHeight w:val="528" w:hRule="atLeast"/>
        </w:trPr>
        <w:tc>
          <w:tcPr>
            <w:tcW w:w="1658" w:type="pct"/>
            <w:tcBorders>
              <w:top w:val="single" w:color="FFFFFF" w:sz="4" w:space="0"/>
              <w:left w:val="single" w:color="FFFFFF" w:sz="4" w:space="0"/>
              <w:bottom w:val="single" w:color="FFFFFF" w:sz="4" w:space="0"/>
              <w:right w:val="single" w:color="FFFFFF" w:sz="4" w:space="0"/>
            </w:tcBorders>
            <w:shd w:val="clear" w:color="auto" w:fill="D9D9D9"/>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最大的软件压缩吞吐量</w:t>
            </w:r>
          </w:p>
        </w:tc>
        <w:tc>
          <w:tcPr>
            <w:tcW w:w="1691" w:type="pct"/>
            <w:tcBorders>
              <w:top w:val="single" w:color="D9D9D9" w:sz="4" w:space="0"/>
              <w:left w:val="nil"/>
              <w:bottom w:val="single" w:color="D9D9D9" w:sz="4" w:space="0"/>
              <w:right w:val="single" w:color="D9D9D9" w:sz="4" w:space="0"/>
            </w:tcBorders>
            <w:shd w:val="clear" w:color="auto" w:fill="auto"/>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20 Mbps</w:t>
            </w:r>
          </w:p>
        </w:tc>
        <w:tc>
          <w:tcPr>
            <w:tcW w:w="1650" w:type="pct"/>
            <w:tcBorders>
              <w:top w:val="single" w:color="D9D9D9" w:sz="4" w:space="0"/>
              <w:left w:val="single" w:color="D9D9D9" w:sz="4" w:space="0"/>
              <w:bottom w:val="single" w:color="D9D9D9" w:sz="4" w:space="0"/>
              <w:right w:val="single" w:color="D9D9D9" w:sz="4" w:space="0"/>
            </w:tcBorders>
            <w:shd w:val="clear" w:color="auto" w:fill="auto"/>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4 Gbps</w:t>
            </w:r>
          </w:p>
        </w:tc>
      </w:tr>
      <w:tr>
        <w:tblPrEx>
          <w:tblCellMar>
            <w:top w:w="0" w:type="dxa"/>
            <w:left w:w="108" w:type="dxa"/>
            <w:bottom w:w="0" w:type="dxa"/>
            <w:right w:w="108" w:type="dxa"/>
          </w:tblCellMar>
        </w:tblPrEx>
        <w:trPr>
          <w:trHeight w:val="528" w:hRule="atLeast"/>
        </w:trPr>
        <w:tc>
          <w:tcPr>
            <w:tcW w:w="1658" w:type="pct"/>
            <w:tcBorders>
              <w:top w:val="single" w:color="FFFFFF" w:sz="4" w:space="0"/>
              <w:left w:val="single" w:color="FFFFFF" w:sz="4" w:space="0"/>
              <w:bottom w:val="single" w:color="FFFFFF" w:sz="4" w:space="0"/>
              <w:right w:val="single" w:color="FFFFFF" w:sz="4" w:space="0"/>
            </w:tcBorders>
            <w:shd w:val="clear" w:color="auto" w:fill="D9D9D9"/>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DNS每秒请求数</w:t>
            </w:r>
          </w:p>
        </w:tc>
        <w:tc>
          <w:tcPr>
            <w:tcW w:w="1691" w:type="pct"/>
            <w:tcBorders>
              <w:top w:val="single" w:color="D9D9D9" w:sz="4" w:space="0"/>
              <w:left w:val="nil"/>
              <w:bottom w:val="single" w:color="D9D9D9" w:sz="4" w:space="0"/>
              <w:right w:val="single" w:color="D9D9D9" w:sz="4" w:space="0"/>
            </w:tcBorders>
            <w:shd w:val="clear" w:color="auto" w:fill="auto"/>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1K</w:t>
            </w:r>
          </w:p>
        </w:tc>
        <w:tc>
          <w:tcPr>
            <w:tcW w:w="1650" w:type="pct"/>
            <w:tcBorders>
              <w:top w:val="single" w:color="D9D9D9" w:sz="4" w:space="0"/>
              <w:left w:val="single" w:color="D9D9D9" w:sz="4" w:space="0"/>
              <w:bottom w:val="single" w:color="D9D9D9" w:sz="4" w:space="0"/>
              <w:right w:val="single" w:color="D9D9D9" w:sz="4" w:space="0"/>
            </w:tcBorders>
            <w:shd w:val="clear" w:color="auto" w:fill="auto"/>
            <w:vAlign w:val="center"/>
          </w:tcPr>
          <w:p>
            <w:pPr>
              <w:widowControl/>
              <w:jc w:val="left"/>
              <w:textAlignment w:val="center"/>
              <w:rPr>
                <w:rFonts w:ascii="微软雅黑" w:hAnsi="微软雅黑" w:eastAsia="微软雅黑" w:cs="微软雅黑"/>
                <w:color w:val="58595B"/>
                <w:sz w:val="15"/>
                <w:szCs w:val="15"/>
              </w:rPr>
            </w:pPr>
            <w:r>
              <w:rPr>
                <w:rFonts w:hint="eastAsia" w:ascii="微软雅黑" w:hAnsi="微软雅黑" w:eastAsia="微软雅黑" w:cs="微软雅黑"/>
                <w:color w:val="58595B"/>
                <w:kern w:val="0"/>
                <w:sz w:val="15"/>
                <w:szCs w:val="15"/>
                <w:lang w:bidi="ar"/>
              </w:rPr>
              <w:t>250K</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OTVkYWQyMDcxMmJhY2M3MzQ2MmIwZGQ2ODMxOGMifQ=="/>
  </w:docVars>
  <w:rsids>
    <w:rsidRoot w:val="738C239F"/>
    <w:rsid w:val="384F2CAE"/>
    <w:rsid w:val="4F155F40"/>
    <w:rsid w:val="52A32E2F"/>
    <w:rsid w:val="6BF50012"/>
    <w:rsid w:val="738C2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237"/>
    </w:pPr>
    <w:rPr>
      <w:rFonts w:ascii="微软雅黑" w:hAnsi="微软雅黑" w:eastAsia="微软雅黑" w:cs="微软雅黑"/>
      <w:szCs w:val="21"/>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933</Words>
  <Characters>1142</Characters>
  <Lines>0</Lines>
  <Paragraphs>0</Paragraphs>
  <TotalTime>32</TotalTime>
  <ScaleCrop>false</ScaleCrop>
  <LinksUpToDate>false</LinksUpToDate>
  <CharactersWithSpaces>1172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2022-04-18T08:52:00Z</dcterms:created>
  <dc:creator>流  殇</dc:creator>
  <cp:lastModifiedBy>小野未葉</cp:lastModifiedBy>
  <dcterms:modified xsi:type="dcterms:W3CDTF">2022-06-20T06:55:55Z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C746D9FEEF42456D865D2AC85AEDAFB3</vt:lpwstr>
  </property>
</Properties>
</file>